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Letter to Annapolis City Council Members</w:t>
      </w:r>
    </w:p>
    <w:p/>
    <w:p>
      <w:pPr>
        <w:spacing w:after="160"/>
      </w:pPr>
      <w:r>
        <w:t>Good afternoon Council Members:</w:t>
      </w:r>
    </w:p>
    <w:p>
      <w:pPr>
        <w:spacing w:after="160"/>
      </w:pPr>
      <w:r>
        <w:t>Attached is a Commentary I wrote that appeared in Eye on Annapolis earlier this week. I have attached it below in case you did not see the article. All of the information came from MPIA requests to the City.</w:t>
      </w:r>
    </w:p>
    <w:p>
      <w:pPr>
        <w:spacing w:after="160"/>
      </w:pPr>
      <w:r>
        <w:t>While some of you may not have been on the Council for some of the special treatment of the Market House tenant, I think most residents would view the City's generosity to the Market House tenant as unusual and, in the case of the property tax waiver, inappropriate.</w:t>
      </w:r>
    </w:p>
    <w:p>
      <w:pPr>
        <w:spacing w:after="160"/>
      </w:pPr>
      <w:r>
        <w:t>The Dock Street businesses continue to struggle. This weekend will see another flooding event, and the coming winter months will only exacerbate their situation.</w:t>
      </w:r>
    </w:p>
    <w:p>
      <w:pPr>
        <w:spacing w:after="160"/>
      </w:pPr>
      <w:r>
        <w:t>While a few residents have suggested that Dock Street "landlords should bear the burden" because they will eventually "benefit from increased property values," may I point out that SDAT has never decreased the assessed value of these buildings because of flooding risk. In the past three-year assessment cycle alone, City-wide property taxes increased by approximately 24%. That includes Dock Street.</w:t>
      </w:r>
    </w:p>
    <w:p>
      <w:pPr>
        <w:spacing w:after="160"/>
      </w:pPr>
      <w:r>
        <w:t>I have spoken to the landlords of several buildings on Dock, Craig, and Prince George Streets. Several have not raised rents for "at least 5 years," despite the approximately 24% tax increase. Storm Brothers owns their building, and they have seen a substantial decrease in sales while property taxes have increased - truly, a "double-whammy."</w:t>
      </w:r>
    </w:p>
    <w:p>
      <w:pPr>
        <w:spacing w:after="160"/>
      </w:pPr>
      <w:r>
        <w:t>I encourage you to consider some form of financial assistance for the Dock Street-area businesses. These small businesses are the heart and soul of our community. Please don't ignore them.</w:t>
      </w:r>
    </w:p>
    <w:p>
      <w:pPr>
        <w:spacing w:after="160"/>
      </w:pPr>
      <w:r>
        <w:t>Thank you.</w:t>
      </w:r>
    </w:p>
    <w:p>
      <w:pPr>
        <w:spacing w:after="160"/>
      </w:pPr>
      <w:r>
        <w:t>Bill Kardash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